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ISTITUTO COMPRENSIVO DI SCUOLA PRIMARIA E SECONDARIA DI PRIMIERO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32"/>
        </w:rPr>
      </w:pPr>
      <w:r>
        <w:rPr>
          <w:rFonts w:ascii="Comic Sans MS" w:hAnsi="Comic Sans MS"/>
          <w:b/>
          <w:sz w:val="32"/>
        </w:rPr>
        <w:t>PROGETTAZIONE DIDATTICA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/>
        <mc:AlternateContent>
          <mc:Choice Requires="wps">
            <w:drawing>
              <wp:inline distT="0" distB="0" distL="114300" distR="114300">
                <wp:extent cx="230505" cy="16383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IRC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shapetype_164" coordsize="21600,21600" o:spt="164" adj="8640" path="m0@1c@4@10@7@13,21600@1em,21600l21600,21600e">
                <v:stroke joinstyle="miter"/>
                <v:formulas>
                  <v:f eqn="val #0"/>
                  <v:f eqn="sum 0 @0 0"/>
                  <v:f eqn="sum 0 10800 0"/>
                  <v:f eqn="prod 2 @2 3"/>
                  <v:f eqn="sum 0 @3 0"/>
                  <v:f eqn="sum 0 21600 0"/>
                  <v:f eqn="prod 1 @5 3"/>
                  <v:f eqn="sum @4 @6 0"/>
                  <v:f eqn="sum 0 0 @1"/>
                  <v:f eqn="prod 2 @8 3"/>
                  <v:f eqn="sum @1 @9 0"/>
                  <v:f eqn="sum 0 @1 @1"/>
                  <v:f eqn="prod 1 @11 3"/>
                  <v:f eqn="sum @10 @12 0"/>
                </v:formulas>
                <v:handles>
                  <v:h position="0,@1"/>
                </v:handles>
              </v:shapetype>
              <v:shape id="shape_0" fillcolor="white" stroked="t" style="position:absolute;margin-left:0pt;margin-top:0pt;width:18.05pt;height:12.8pt" type="shapetype_164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IRC</w:t>
                      </w:r>
                    </w:p>
                  </w:txbxContent>
                </v:textbox>
                <v:path textpathok="t"/>
                <v:textpath on="t" fitshape="t" string="IRC" style="font-family:&quot;Calibri&quot;"/>
                <w10:wrap type="none"/>
                <v:fill o:detectmouseclick="t" type="solid" color2="black"/>
                <v:stroke color="black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/>
        <w:drawing>
          <wp:inline distT="0" distB="0" distL="0" distR="0">
            <wp:extent cx="3572510" cy="3572510"/>
            <wp:effectExtent l="0" t="0" r="0" b="0"/>
            <wp:docPr id="2" name="Immagine 1" descr="RELIG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RELIGIONE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Insegnanti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BROCH PAOLA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CORONA MARGHERITA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LOSS CORNELIA</w:t>
      </w:r>
    </w:p>
    <w:p>
      <w:pPr>
        <w:pStyle w:val="Normal"/>
        <w:jc w:val="center"/>
        <w:rPr>
          <w:b/>
          <w:b/>
          <w:sz w:val="24"/>
        </w:rPr>
      </w:pPr>
      <w:r>
        <w:rPr>
          <w:rFonts w:ascii="Comic Sans MS" w:hAnsi="Comic Sans MS"/>
          <w:b/>
          <w:sz w:val="24"/>
        </w:rPr>
        <w:t>NGUNZA ANTONIO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ANNO SCOLASTICO 2016 - 2017</w:t>
      </w:r>
      <w:r>
        <w:br w:type="page"/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CLASSE PRIMA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tbl>
      <w:tblPr>
        <w:tblStyle w:val="Grigliatabella"/>
        <w:tblW w:w="101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7"/>
        <w:gridCol w:w="3544"/>
        <w:gridCol w:w="3970"/>
      </w:tblGrid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NUCLEI FONDANTI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CONOSCENZE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ABILITA’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ACCOGLIENZA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Incontro,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occasione di crescita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La mia identità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Relazioni positive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sz w:val="20"/>
              </w:rPr>
              <w:t>Scoprire che l’incontro con persone e situazioni nuove può essere occasione per la propria crescita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ORA DI RELIGIONE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Contenuti e specificità della disciplina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Aspetti della vita scolastica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Contenuti dell’ora di religione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sz w:val="20"/>
              </w:rPr>
              <w:t>Individuare la specificità dell’ora di religione all’interno della scuola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CREAZIONE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Dio Padre Creatore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Creato, dono di Dio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Gesti di rispetto nei confronti della natura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Riconoscere attraverso il racconto biblico la creazione come dono di Dio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Saper discriminare gesti di rispetto e non nei confronti della natura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943634" w:themeColor="accent2" w:themeShade="bf"/>
                <w:sz w:val="20"/>
              </w:rPr>
            </w:pPr>
            <w:r>
              <w:rPr>
                <w:rFonts w:ascii="Comic Sans MS" w:hAnsi="Comic Sans MS"/>
                <w:color w:val="943634" w:themeColor="accent2" w:themeShade="bf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NATALE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Festa della nascita di Gesù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Segni della festa di Natale nell’ambiente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Segni  della festa cristiana del Natale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Il racconto di Natale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Individuare nell’ambiente i segni della festa di Natale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Riconoscere i segni  della festa cristiana del Natale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Conoscere il racconto di Natale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  <w:sz w:val="20"/>
              </w:rPr>
            </w:pPr>
            <w:r>
              <w:rPr>
                <w:rFonts w:ascii="Comic Sans MS" w:hAnsi="Comic Sans MS"/>
                <w:color w:val="548DD4" w:themeColor="text2" w:themeTint="99"/>
                <w:sz w:val="20"/>
              </w:rPr>
              <w:t>GESU’ DI NAZARET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Ambiente di vita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Vita quotidiana di Gesù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Conoscere alcuni momenti della vita quotidiana di Gesù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Saper trovare analogie e differenze tra il bambino di oggi e il bambino della Palestina i tempi di Gesù</w:t>
            </w:r>
          </w:p>
          <w:p>
            <w:pPr>
              <w:pStyle w:val="Normal"/>
              <w:spacing w:lineRule="auto" w:line="240" w:before="0" w:after="0"/>
              <w:ind w:left="77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E36C0A" w:themeColor="accent6" w:themeShade="bf"/>
                <w:sz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E36C0A" w:themeColor="accent6" w:themeShade="bf"/>
                <w:sz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</w:rPr>
              <w:t>PASQUA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Festa della risurrezione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Segni della festa cristiana della Pasqua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Il racconto della Pasqua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Individuare nell’ambiente i segni  cristiani della Pasqua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Riconoscere i segni  della festa cristiana della Pasqua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Conoscere il racconto della Pasqua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808080" w:themeColor="background1" w:themeShade="80"/>
                <w:sz w:val="20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808080" w:themeColor="background1" w:themeShade="80"/>
                <w:sz w:val="20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20"/>
              </w:rPr>
              <w:t>CHIESA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Luogo sacro dei cristiani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La chiesa come edificio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Saper distinguere la chiesa da altri edifici sacri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Conoscere i nomi dei principali spazi della chiesa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CLASSE SECONDA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tbl>
      <w:tblPr>
        <w:tblStyle w:val="Grigliatabella"/>
        <w:tblW w:w="101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7"/>
        <w:gridCol w:w="3544"/>
        <w:gridCol w:w="3970"/>
      </w:tblGrid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NUCLEI FONDANTI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CONOSCENZE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ABILITA’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AMICIZIA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Esperienza di crescita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Segni di amicizia nella vita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Segni di amicizia nella Bibbia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nell’amicizia con i compagni il modo migliore per stare insieme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Individuare i simboli di amicizia all’interno di racconti mitici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CREAZIONE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Salvaguardia del Creato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San Francesco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Salvaguardia del Creato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Conoscere la figura di S. Francesco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in S. Francesco colui che ama il Creato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il Cantico delle Creature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NATALE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Attesa e significato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Segni dell’attesa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Racconto dell’attesa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Conoscere che l’Avvento è un tempo di attesa a ricordo dell’attesa del popolo ebraico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la storia di S. Nicolò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 i segni cristiani dell’Avvento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il Natale come festa della nascita di Gesu’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  <w:t>IL PAESE DI GESU’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Ambiente geografico e naturale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Ambiente geografico e naturale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la vita di Gesù narrata dal Vangelo all’interno di coordinate spazio-temporali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GESU’ DI NAZARET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Parole e opere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Parole e gesti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alcuni miracoli compiuti da Gesù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alcun parabole raccontate da Gesù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il significato di parabola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PASQUA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Ricordo e celebrazione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Simboli della Pasqua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Pasqua memoriale della risurrezione di Gesù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Individuare i simboli cristiani della Pasqua nell’ambiente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Saper collegare le celebrazioni  pasquali agli ultimi giorni della vita di Gesù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CHIESA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Comunità dei credenti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Comunità di credenti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nella Chiesa la comunità dei credenti in Cristo, uniti nel segno del Battesimo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la differenza tra chiesa e Chiesa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CLASSE TERZA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tbl>
      <w:tblPr>
        <w:tblStyle w:val="Grigliatabella"/>
        <w:tblW w:w="101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7"/>
        <w:gridCol w:w="3544"/>
        <w:gridCol w:w="3970"/>
      </w:tblGrid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NUCLEI FONDANTI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CONOSCENZE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ABILITA’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RELIGIOSITA’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Origine e sviluppo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Religiosità dei popoli primitivi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miti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Parole chiave della religiosità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Identificare la religione come fatto che caratterizza l’esperienza umana di tutti i tempi e di tutti i luoghi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il significato di alcuni termini specifici delle religioni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SCIENZA E BIBBIA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Differenze e analogie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Libro sacro di Ebrei e Cristiani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Bibbia e scienza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nella Bibbia il libro che racconta la storia del popolo ebreo, la vita di Gesù e dei primi cristiani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Saper mettere in relazione il racconto biblico con le ipotesi scientifiche sull’origine del mondo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Capire che scienza e bibbia rispondono a domande diverse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SORIA DELLA SALVEZZA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Patriarchi re e profeti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Abramo, padre dei credenti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Patriarchi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Mosè e il segno dell’Antica Alleanza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 e Profeti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in Abramo il padre dei credenti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le varie forme di patto e la loro funzione sociale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il Decalogo il segn dell’antica alleanza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l’Alleanza come un rapporto privilegiato tra Dio e il suo popolo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vicende e figure principali della storia del popolo di Israele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PASQUA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Pasqua di liberazione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L’origine della Pasqua ebraica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Pasqua ebraica e cristiana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le vicende che hanno portato alla celebrazione della festa della Pasqua ebraica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Cogliere analogie e differenze con la Pasqua cristiana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GESU’ DI NAZARET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Realizzazione della promessa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Gesù, il Messia promesso dalle Scritture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Conoscere Gesù di Nazareth come il Messia promesso dai profeti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</w:r>
      <w:r>
        <w:br w:type="page"/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CLASSE QUARTA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tbl>
      <w:tblPr>
        <w:tblStyle w:val="Grigliatabella"/>
        <w:tblW w:w="101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7"/>
        <w:gridCol w:w="3544"/>
        <w:gridCol w:w="3970"/>
      </w:tblGrid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NUCLEI FONDANTI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CONOSCENZE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ABILITA’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943634" w:themeColor="accent2" w:themeShade="bf"/>
                <w:sz w:val="20"/>
              </w:rPr>
            </w:pPr>
            <w:r>
              <w:rPr>
                <w:rFonts w:ascii="Comic Sans MS" w:hAnsi="Comic Sans MS"/>
                <w:color w:val="943634" w:themeColor="accent2" w:themeShade="bf"/>
                <w:sz w:val="20"/>
              </w:rPr>
              <w:t>IL PAESE DI GESU’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Ambiente soci</w:t>
            </w:r>
            <w:r>
              <w:rPr>
                <w:rFonts w:ascii="Comic Sans MS" w:hAnsi="Comic Sans MS"/>
              </w:rPr>
              <w:t>ale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Terra di Gesù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Gruppi sociali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rapporti di potere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Individuare il territorio geografico della Palestina collocandovi le informazioni sull’ambiente sociale del tempo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l’ambiente sociale in cui è vissuto Gesù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VANGELI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Origine e sviluppo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Origine dei Vangeli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le modalità di formazione di Vangeli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le caratteristiche principali e i simboli di ogni Evangelista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NATALE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Storicità e documenti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Natale nella storia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Natale nell’arte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gli elementi costitutivi del Natale anche in relazione a documenti storici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alcune forme espressive di interpretazione della Natività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8DB3E2" w:themeColor="text2" w:themeTint="66"/>
                <w:sz w:val="20"/>
              </w:rPr>
            </w:pPr>
            <w:r>
              <w:rPr>
                <w:rFonts w:ascii="Comic Sans MS" w:hAnsi="Comic Sans MS"/>
                <w:color w:val="8DB3E2" w:themeColor="text2" w:themeTint="66"/>
                <w:sz w:val="20"/>
              </w:rPr>
              <w:t>GESU’ DI NAZARETH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Maestro di vita 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Regno di Dio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alcuni episodi del Vangelo in cui Gesù si presenta come Maestro di Vita per i suoi amici e come portatore del regno di Dio.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SEMI DI PACE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Testimoni 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sogni di alcuni testimoni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la storia di alcuni testimoni che si sono impegnati nella lotta per la libertà, la giustizia e la pace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  <w:t>CLASSE QUINTA</w:t>
      </w:r>
    </w:p>
    <w:p>
      <w:pPr>
        <w:pStyle w:val="Normal"/>
        <w:jc w:val="center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tbl>
      <w:tblPr>
        <w:tblStyle w:val="Grigliatabella"/>
        <w:tblW w:w="101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7"/>
        <w:gridCol w:w="3544"/>
        <w:gridCol w:w="3970"/>
      </w:tblGrid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NUCLEI FONDANTI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CONOSCENZE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ABILITA’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CRISTIANESIMO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Origini e sviluppo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Ambientazione storica del Cristianesimo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San Pietro e San Paolo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monachesimo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confessioni cristiane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Identificare alcune fasi dello sviluppo del Cristianesimo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le storie di Pietro e Paolo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la vita di S. Benedetto e l’origine del monachesimo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Conoscere l’origine delle confessioni cristiane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Saper individuare analogie e differenze delle principali confessioni cristiane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 GRANDI RELIGIONI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Origine e sviluppo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Linee essenziali delle principali religioni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Testi sacri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Saper individuare le caratteristiche essenziali delle religioni monoteiste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Riconoscere che ogni religione ha un proprio testo sacro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ECUMENISMO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Dialogo tra religioni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Apprezzare l’impegno delle religioni per la ricerca del dialogo per una convivenza pacifica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</w:tr>
      <w:tr>
        <w:trPr>
          <w:trHeight w:val="1283" w:hRule="atLeast"/>
        </w:trPr>
        <w:tc>
          <w:tcPr>
            <w:tcW w:w="26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color w:val="365F91" w:themeColor="accent1" w:themeShade="bf"/>
                <w:sz w:val="20"/>
              </w:rPr>
            </w:pPr>
            <w:r>
              <w:rPr>
                <w:rFonts w:ascii="Comic Sans MS" w:hAnsi="Comic Sans MS"/>
                <w:color w:val="365F91" w:themeColor="accent1" w:themeShade="bf"/>
                <w:sz w:val="20"/>
              </w:rPr>
              <w:t>BIBBIA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Origine e sviluppo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Struttura della Bibbia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Confronto tra testi sacri</w:t>
            </w:r>
          </w:p>
        </w:tc>
        <w:tc>
          <w:tcPr>
            <w:tcW w:w="39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Conoscere le fasi di formazione della Bibbia e </w:t>
            </w:r>
          </w:p>
        </w:tc>
      </w:tr>
    </w:tbl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7d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c20c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Comic Sans MS" w:hAnsi="Comic Sans MS"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Comic Sans MS" w:hAnsi="Comic Sans MS" w:eastAsia="Calibri" w:cs="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6084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c20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a42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E8541-2920-40E4-96AE-D384AC8E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LibreOffice/5.1.4.2$Linux_X86_64 LibreOffice_project/10m0$Build-2</Application>
  <Pages>7</Pages>
  <Words>1113</Words>
  <Characters>5890</Characters>
  <CharactersWithSpaces>6715</CharactersWithSpaces>
  <Paragraphs>205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2016-10-20T06:56:00Z</dcterms:created>
  <dc:creator>Cornelia</dc:creator>
  <dc:description/>
  <dc:language>it-IT</dc:language>
  <cp:lastModifiedBy/>
  <dcterms:modified xsi:type="dcterms:W3CDTF">2016-10-21T08:29:39Z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